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A0" w:rsidRDefault="00C54723" w:rsidP="008D0E9F">
      <w:pPr>
        <w:pStyle w:val="Heading2"/>
      </w:pPr>
      <w:r w:rsidRPr="008D0E9F">
        <w:t>Appendix</w:t>
      </w:r>
      <w:r>
        <w:t xml:space="preserve"> A  </w:t>
      </w:r>
      <w:r w:rsidRPr="008D0E9F">
        <w:rPr>
          <w:rFonts w:ascii="MetaOT-CondBold" w:hAnsi="MetaOT-CondBold"/>
          <w:color w:val="4E9DB8"/>
          <w:sz w:val="22"/>
        </w:rPr>
        <w:t>CORPORATE INTEGRITY</w:t>
      </w:r>
    </w:p>
    <w:p w:rsidR="00055FA0" w:rsidRDefault="00C54723">
      <w:pPr>
        <w:ind w:left="2267"/>
        <w:rPr>
          <w:rFonts w:ascii="MetaOT-CondBook" w:hAnsi="MetaOT-CondBook"/>
          <w:sz w:val="19"/>
        </w:rPr>
      </w:pPr>
      <w:bookmarkStart w:id="0" w:name="_GoBack"/>
      <w:bookmarkEnd w:id="0"/>
      <w:r>
        <w:rPr>
          <w:rFonts w:ascii="MetaOT-CondXbold" w:hAnsi="MetaOT-CondXbold"/>
          <w:b/>
          <w:color w:val="2D637F"/>
          <w:sz w:val="19"/>
        </w:rPr>
        <w:t>T</w:t>
      </w:r>
      <w:r>
        <w:rPr>
          <w:rFonts w:ascii="MetaOT-CondXbold" w:hAnsi="MetaOT-CondXbold"/>
          <w:b/>
          <w:color w:val="2D637F"/>
          <w:sz w:val="19"/>
        </w:rPr>
        <w:t xml:space="preserve">able A1   </w:t>
      </w:r>
      <w:r>
        <w:rPr>
          <w:rFonts w:ascii="MetaOT-CondBook" w:hAnsi="MetaOT-CondBook"/>
          <w:color w:val="2D637F"/>
          <w:sz w:val="19"/>
        </w:rPr>
        <w:t>Alleged conduct breaches</w:t>
      </w:r>
      <w:r>
        <w:rPr>
          <w:rFonts w:ascii="MetaOT-CondBook" w:hAnsi="MetaOT-CondBook"/>
          <w:color w:val="2D637F"/>
          <w:position w:val="6"/>
          <w:sz w:val="11"/>
        </w:rPr>
        <w:t xml:space="preserve">1 </w:t>
      </w:r>
      <w:r>
        <w:rPr>
          <w:rFonts w:ascii="MetaOT-CondBook" w:hAnsi="MetaOT-CondBook"/>
          <w:color w:val="2D637F"/>
          <w:sz w:val="19"/>
        </w:rPr>
        <w:t>recorded by category, 2015–16 to 2018–19</w:t>
      </w:r>
    </w:p>
    <w:p w:rsidR="00055FA0" w:rsidRDefault="00055FA0">
      <w:pPr>
        <w:pStyle w:val="BodyText"/>
        <w:spacing w:before="9"/>
        <w:rPr>
          <w:rFonts w:ascii="MetaOT-CondBook"/>
          <w:sz w:val="6"/>
        </w:rPr>
      </w:pPr>
    </w:p>
    <w:tbl>
      <w:tblPr>
        <w:tblW w:w="0" w:type="auto"/>
        <w:tblInd w:w="2267" w:type="dxa"/>
        <w:tblBorders>
          <w:top w:val="single" w:sz="2" w:space="0" w:color="133244"/>
          <w:left w:val="single" w:sz="2" w:space="0" w:color="133244"/>
          <w:bottom w:val="single" w:sz="2" w:space="0" w:color="133244"/>
          <w:right w:val="single" w:sz="2" w:space="0" w:color="133244"/>
          <w:insideH w:val="single" w:sz="2" w:space="0" w:color="133244"/>
          <w:insideV w:val="single" w:sz="2" w:space="0" w:color="1332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1020"/>
        <w:gridCol w:w="1020"/>
        <w:gridCol w:w="1020"/>
        <w:gridCol w:w="1022"/>
      </w:tblGrid>
      <w:tr w:rsidR="00055FA0">
        <w:trPr>
          <w:trHeight w:hRule="exact" w:val="370"/>
        </w:trPr>
        <w:tc>
          <w:tcPr>
            <w:tcW w:w="2608" w:type="dxa"/>
            <w:shd w:val="clear" w:color="auto" w:fill="2D637F"/>
          </w:tcPr>
          <w:p w:rsidR="00055FA0" w:rsidRDefault="00055FA0"/>
        </w:tc>
        <w:tc>
          <w:tcPr>
            <w:tcW w:w="1020" w:type="dxa"/>
            <w:shd w:val="clear" w:color="auto" w:fill="2D637F"/>
          </w:tcPr>
          <w:p w:rsidR="00055FA0" w:rsidRDefault="00C54723">
            <w:pPr>
              <w:pStyle w:val="TableParagraph"/>
              <w:spacing w:before="77"/>
              <w:ind w:right="75"/>
              <w:rPr>
                <w:rFonts w:ascii="MetaHeadlineOT-CompBold" w:hAnsi="MetaHeadlineOT-CompBold"/>
                <w:b/>
                <w:sz w:val="18"/>
              </w:rPr>
            </w:pPr>
            <w:r>
              <w:rPr>
                <w:rFonts w:ascii="MetaHeadlineOT-CompBold" w:hAnsi="MetaHeadlineOT-CompBold"/>
                <w:b/>
                <w:color w:val="FFFFFF"/>
                <w:sz w:val="18"/>
              </w:rPr>
              <w:t>2015–16</w:t>
            </w:r>
          </w:p>
        </w:tc>
        <w:tc>
          <w:tcPr>
            <w:tcW w:w="1020" w:type="dxa"/>
            <w:shd w:val="clear" w:color="auto" w:fill="2D637F"/>
          </w:tcPr>
          <w:p w:rsidR="00055FA0" w:rsidRDefault="00C54723">
            <w:pPr>
              <w:pStyle w:val="TableParagraph"/>
              <w:spacing w:before="77"/>
              <w:ind w:right="75"/>
              <w:rPr>
                <w:rFonts w:ascii="MetaHeadlineOT-CompBold" w:hAnsi="MetaHeadlineOT-CompBold"/>
                <w:b/>
                <w:sz w:val="18"/>
              </w:rPr>
            </w:pPr>
            <w:r>
              <w:rPr>
                <w:rFonts w:ascii="MetaHeadlineOT-CompBold" w:hAnsi="MetaHeadlineOT-CompBold"/>
                <w:b/>
                <w:color w:val="FFFFFF"/>
                <w:sz w:val="18"/>
              </w:rPr>
              <w:t>2016–17</w:t>
            </w:r>
          </w:p>
        </w:tc>
        <w:tc>
          <w:tcPr>
            <w:tcW w:w="1020" w:type="dxa"/>
            <w:shd w:val="clear" w:color="auto" w:fill="2D637F"/>
          </w:tcPr>
          <w:p w:rsidR="00055FA0" w:rsidRDefault="00C54723">
            <w:pPr>
              <w:pStyle w:val="TableParagraph"/>
              <w:spacing w:before="77"/>
              <w:ind w:right="75"/>
              <w:rPr>
                <w:rFonts w:ascii="MetaHeadlineOT-CompBold" w:hAnsi="MetaHeadlineOT-CompBold"/>
                <w:b/>
                <w:sz w:val="18"/>
              </w:rPr>
            </w:pPr>
            <w:r>
              <w:rPr>
                <w:rFonts w:ascii="MetaHeadlineOT-CompBold" w:hAnsi="MetaHeadlineOT-CompBold"/>
                <w:b/>
                <w:color w:val="FFFFFF"/>
                <w:sz w:val="18"/>
              </w:rPr>
              <w:t>2017–18</w:t>
            </w:r>
          </w:p>
        </w:tc>
        <w:tc>
          <w:tcPr>
            <w:tcW w:w="1020" w:type="dxa"/>
            <w:shd w:val="clear" w:color="auto" w:fill="2D637F"/>
          </w:tcPr>
          <w:p w:rsidR="00055FA0" w:rsidRDefault="00C54723">
            <w:pPr>
              <w:pStyle w:val="TableParagraph"/>
              <w:spacing w:before="77"/>
              <w:ind w:right="75"/>
              <w:rPr>
                <w:rFonts w:ascii="MetaHeadlineOT-CompBold" w:hAnsi="MetaHeadlineOT-CompBold"/>
                <w:b/>
                <w:sz w:val="18"/>
              </w:rPr>
            </w:pPr>
            <w:r>
              <w:rPr>
                <w:rFonts w:ascii="MetaHeadlineOT-CompBold" w:hAnsi="MetaHeadlineOT-CompBold"/>
                <w:b/>
                <w:color w:val="FFFFFF"/>
                <w:sz w:val="18"/>
              </w:rPr>
              <w:t>2018–19</w:t>
            </w:r>
          </w:p>
        </w:tc>
      </w:tr>
      <w:tr w:rsidR="00055FA0">
        <w:trPr>
          <w:trHeight w:hRule="exact" w:val="311"/>
        </w:trPr>
        <w:tc>
          <w:tcPr>
            <w:tcW w:w="6690" w:type="dxa"/>
            <w:gridSpan w:val="5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2D8E3"/>
          </w:tcPr>
          <w:p w:rsidR="00055FA0" w:rsidRDefault="00C54723">
            <w:pPr>
              <w:pStyle w:val="TableParagraph"/>
              <w:spacing w:before="6"/>
              <w:ind w:left="82" w:right="0"/>
              <w:jc w:val="left"/>
              <w:rPr>
                <w:rFonts w:ascii="MetaOT-CondBold"/>
                <w:b/>
                <w:sz w:val="19"/>
              </w:rPr>
            </w:pPr>
            <w:r>
              <w:rPr>
                <w:rFonts w:ascii="MetaOT-CondBold"/>
                <w:b/>
                <w:color w:val="231F20"/>
                <w:sz w:val="19"/>
              </w:rPr>
              <w:t>All AFP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149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105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96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117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78"/>
              <w:rPr>
                <w:sz w:val="19"/>
              </w:rPr>
            </w:pPr>
            <w:r>
              <w:rPr>
                <w:color w:val="231F20"/>
                <w:sz w:val="19"/>
              </w:rPr>
              <w:t>444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316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323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1"/>
              <w:rPr>
                <w:sz w:val="19"/>
              </w:rPr>
            </w:pPr>
            <w:r>
              <w:rPr>
                <w:color w:val="231F20"/>
                <w:sz w:val="19"/>
              </w:rPr>
              <w:t>259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246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333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1"/>
              <w:rPr>
                <w:sz w:val="19"/>
              </w:rPr>
            </w:pPr>
            <w:r>
              <w:rPr>
                <w:color w:val="231F20"/>
                <w:sz w:val="19"/>
              </w:rPr>
              <w:t>183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197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4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69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1"/>
              <w:rPr>
                <w:sz w:val="19"/>
              </w:rPr>
            </w:pPr>
            <w:r>
              <w:rPr>
                <w:color w:val="231F20"/>
                <w:sz w:val="19"/>
              </w:rPr>
              <w:t>87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80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80</w:t>
            </w:r>
          </w:p>
        </w:tc>
      </w:tr>
      <w:tr w:rsidR="00055FA0">
        <w:trPr>
          <w:trHeight w:hRule="exact" w:val="264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left="77" w:right="0"/>
              <w:jc w:val="left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Total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908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9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841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682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653</w:t>
            </w:r>
          </w:p>
        </w:tc>
      </w:tr>
      <w:tr w:rsidR="00055FA0">
        <w:trPr>
          <w:trHeight w:hRule="exact" w:val="313"/>
        </w:trPr>
        <w:tc>
          <w:tcPr>
            <w:tcW w:w="66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2D8E3"/>
          </w:tcPr>
          <w:p w:rsidR="00055FA0" w:rsidRDefault="00C54723">
            <w:pPr>
              <w:pStyle w:val="TableParagraph"/>
              <w:spacing w:before="9"/>
              <w:ind w:left="82" w:right="0"/>
              <w:jc w:val="left"/>
              <w:rPr>
                <w:rFonts w:ascii="MetaOT-CondBold"/>
                <w:b/>
                <w:sz w:val="19"/>
              </w:rPr>
            </w:pPr>
            <w:r>
              <w:rPr>
                <w:rFonts w:ascii="MetaOT-CondBold"/>
                <w:b/>
                <w:color w:val="231F20"/>
                <w:sz w:val="19"/>
              </w:rPr>
              <w:t>Outcome 1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49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35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313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196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180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190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191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278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135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148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4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1"/>
              <w:rPr>
                <w:sz w:val="19"/>
              </w:rPr>
            </w:pPr>
            <w:r>
              <w:rPr>
                <w:color w:val="231F20"/>
                <w:sz w:val="19"/>
              </w:rPr>
              <w:t>59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78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6"/>
              <w:rPr>
                <w:sz w:val="19"/>
              </w:rPr>
            </w:pPr>
            <w:r>
              <w:rPr>
                <w:color w:val="231F20"/>
                <w:sz w:val="19"/>
              </w:rPr>
              <w:t>61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64</w:t>
            </w:r>
          </w:p>
        </w:tc>
      </w:tr>
      <w:tr w:rsidR="00055FA0">
        <w:trPr>
          <w:trHeight w:hRule="exact" w:val="264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left="77" w:right="0"/>
              <w:jc w:val="left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Total Outcome 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612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590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406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5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437</w:t>
            </w:r>
          </w:p>
        </w:tc>
      </w:tr>
      <w:tr w:rsidR="00055FA0">
        <w:trPr>
          <w:trHeight w:hRule="exact" w:val="313"/>
        </w:trPr>
        <w:tc>
          <w:tcPr>
            <w:tcW w:w="6690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2D8E3"/>
          </w:tcPr>
          <w:p w:rsidR="00055FA0" w:rsidRDefault="00C54723">
            <w:pPr>
              <w:pStyle w:val="TableParagraph"/>
              <w:spacing w:before="9"/>
              <w:ind w:left="82" w:right="0"/>
              <w:jc w:val="left"/>
              <w:rPr>
                <w:rFonts w:ascii="MetaOT-CondBold"/>
                <w:b/>
                <w:sz w:val="19"/>
              </w:rPr>
            </w:pPr>
            <w:r>
              <w:rPr>
                <w:rFonts w:ascii="MetaOT-CondBold"/>
                <w:b/>
                <w:color w:val="231F20"/>
                <w:sz w:val="19"/>
              </w:rPr>
              <w:t>Outcome 2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2"/>
              <w:rPr>
                <w:sz w:val="19"/>
              </w:rPr>
            </w:pPr>
            <w:r>
              <w:rPr>
                <w:color w:val="231F20"/>
                <w:sz w:val="19"/>
              </w:rPr>
              <w:t>100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2"/>
              <w:rPr>
                <w:sz w:val="19"/>
              </w:rPr>
            </w:pPr>
            <w:r>
              <w:rPr>
                <w:color w:val="231F20"/>
                <w:sz w:val="19"/>
              </w:rPr>
              <w:t>67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66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82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2"/>
              <w:rPr>
                <w:sz w:val="19"/>
              </w:rPr>
            </w:pPr>
            <w:r>
              <w:rPr>
                <w:color w:val="231F20"/>
                <w:sz w:val="19"/>
              </w:rPr>
              <w:t>131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120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143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1"/>
              <w:rPr>
                <w:sz w:val="19"/>
              </w:rPr>
            </w:pPr>
            <w:r>
              <w:rPr>
                <w:color w:val="231F20"/>
                <w:sz w:val="19"/>
              </w:rPr>
              <w:t>69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3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2"/>
              <w:rPr>
                <w:sz w:val="19"/>
              </w:rPr>
            </w:pPr>
            <w:r>
              <w:rPr>
                <w:color w:val="231F20"/>
                <w:sz w:val="19"/>
              </w:rPr>
              <w:t>55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55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79"/>
              <w:rPr>
                <w:sz w:val="19"/>
              </w:rPr>
            </w:pPr>
            <w:r>
              <w:rPr>
                <w:color w:val="231F20"/>
                <w:sz w:val="19"/>
              </w:rPr>
              <w:t>48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49</w:t>
            </w:r>
          </w:p>
        </w:tc>
      </w:tr>
      <w:tr w:rsidR="00055FA0">
        <w:trPr>
          <w:trHeight w:hRule="exact" w:val="321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FF3"/>
          </w:tcPr>
          <w:p w:rsidR="00055FA0" w:rsidRDefault="00C54723">
            <w:pPr>
              <w:pStyle w:val="TableParagraph"/>
              <w:ind w:left="82" w:right="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Category 4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ind w:right="82"/>
              <w:rPr>
                <w:sz w:val="19"/>
              </w:rPr>
            </w:pPr>
            <w:r>
              <w:rPr>
                <w:color w:val="231F20"/>
                <w:sz w:val="19"/>
              </w:rPr>
              <w:t>10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19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055FA0" w:rsidRDefault="00C54723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16</w:t>
            </w:r>
          </w:p>
        </w:tc>
      </w:tr>
      <w:tr w:rsidR="00055FA0">
        <w:trPr>
          <w:trHeight w:hRule="exact" w:val="264"/>
        </w:trPr>
        <w:tc>
          <w:tcPr>
            <w:tcW w:w="26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left="77" w:right="0"/>
              <w:jc w:val="left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Total Outcome 2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6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296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6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251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81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276</w:t>
            </w:r>
          </w:p>
        </w:tc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5EDDC"/>
          </w:tcPr>
          <w:p w:rsidR="00055FA0" w:rsidRDefault="00C54723">
            <w:pPr>
              <w:pStyle w:val="TableParagraph"/>
              <w:spacing w:before="19"/>
              <w:ind w:right="76"/>
              <w:rPr>
                <w:rFonts w:ascii="MetaHeadlineOT-Bold"/>
                <w:b/>
                <w:sz w:val="19"/>
              </w:rPr>
            </w:pPr>
            <w:r>
              <w:rPr>
                <w:rFonts w:ascii="MetaHeadlineOT-Bold"/>
                <w:b/>
                <w:color w:val="231F20"/>
                <w:sz w:val="19"/>
              </w:rPr>
              <w:t>216</w:t>
            </w:r>
          </w:p>
        </w:tc>
      </w:tr>
    </w:tbl>
    <w:p w:rsidR="00055FA0" w:rsidRDefault="00C54723">
      <w:pPr>
        <w:pStyle w:val="BodyText"/>
        <w:tabs>
          <w:tab w:val="left" w:pos="2551"/>
        </w:tabs>
        <w:spacing w:before="206" w:line="180" w:lineRule="exact"/>
        <w:ind w:left="2551" w:right="1037" w:hanging="284"/>
      </w:pPr>
      <w:r>
        <w:rPr>
          <w:color w:val="231F20"/>
        </w:rPr>
        <w:t>1</w:t>
      </w:r>
      <w:r>
        <w:rPr>
          <w:color w:val="231F20"/>
        </w:rPr>
        <w:tab/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breaches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complaint.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breaches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applied 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complainant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 or more members are subject to 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complaint.</w:t>
      </w:r>
    </w:p>
    <w:p w:rsidR="00055FA0" w:rsidRDefault="00C54723">
      <w:pPr>
        <w:pStyle w:val="BodyText"/>
        <w:spacing w:before="56" w:line="180" w:lineRule="exact"/>
        <w:ind w:left="2551" w:right="1008"/>
      </w:pPr>
      <w:r>
        <w:rPr>
          <w:color w:val="231F20"/>
        </w:rPr>
        <w:t xml:space="preserve">Note: Part V of the </w:t>
      </w:r>
      <w:r>
        <w:rPr>
          <w:rFonts w:ascii="MetaOT-LightIta"/>
          <w:i/>
          <w:color w:val="231F20"/>
        </w:rPr>
        <w:t xml:space="preserve">Australian Federal Police Act 1979 </w:t>
      </w:r>
      <w:r>
        <w:rPr>
          <w:color w:val="231F20"/>
        </w:rPr>
        <w:t>(Cth) (the AFP Act) defines the categories of conduct for AFP appointees. Category 1 is the least serious category and relates mainly to customer service breaches. Category 2 is minor misconduct and category 3 is serious misconduct. Category 4 complaints r</w:t>
      </w:r>
      <w:r>
        <w:rPr>
          <w:color w:val="231F20"/>
        </w:rPr>
        <w:t xml:space="preserve">elate to corruption as defined by the </w:t>
      </w:r>
      <w:r>
        <w:rPr>
          <w:rFonts w:ascii="MetaOT-LightIta"/>
          <w:i/>
          <w:color w:val="231F20"/>
        </w:rPr>
        <w:t xml:space="preserve">Law Enforcement Integrity Act 2006 </w:t>
      </w:r>
      <w:r>
        <w:rPr>
          <w:color w:val="231F20"/>
        </w:rPr>
        <w:t xml:space="preserve">(Cth). These matters are deemed to be either significant or non-significant corruption and are referred to the Australian Commission for Law Enforcement Integrity (ACLEI). Category 4 </w:t>
      </w:r>
      <w:r>
        <w:rPr>
          <w:color w:val="231F20"/>
        </w:rPr>
        <w:t>complaints may be investigated by:</w:t>
      </w:r>
    </w:p>
    <w:p w:rsidR="00055FA0" w:rsidRDefault="00C54723">
      <w:pPr>
        <w:pStyle w:val="ListParagraph"/>
        <w:numPr>
          <w:ilvl w:val="0"/>
          <w:numId w:val="1"/>
        </w:numPr>
        <w:tabs>
          <w:tab w:val="left" w:pos="2778"/>
        </w:tabs>
        <w:spacing w:before="29"/>
        <w:rPr>
          <w:sz w:val="15"/>
        </w:rPr>
      </w:pPr>
      <w:r>
        <w:rPr>
          <w:color w:val="231F20"/>
          <w:sz w:val="15"/>
        </w:rPr>
        <w:t>ACLEI</w:t>
      </w:r>
    </w:p>
    <w:p w:rsidR="00055FA0" w:rsidRDefault="00C54723">
      <w:pPr>
        <w:pStyle w:val="ListParagraph"/>
        <w:numPr>
          <w:ilvl w:val="0"/>
          <w:numId w:val="1"/>
        </w:numPr>
        <w:tabs>
          <w:tab w:val="left" w:pos="2778"/>
        </w:tabs>
        <w:rPr>
          <w:sz w:val="15"/>
        </w:rPr>
      </w:pPr>
      <w:r>
        <w:rPr>
          <w:color w:val="231F20"/>
          <w:sz w:val="15"/>
        </w:rPr>
        <w:t>the AFP</w:t>
      </w:r>
    </w:p>
    <w:p w:rsidR="00055FA0" w:rsidRDefault="00C54723">
      <w:pPr>
        <w:pStyle w:val="ListParagraph"/>
        <w:numPr>
          <w:ilvl w:val="0"/>
          <w:numId w:val="1"/>
        </w:numPr>
        <w:tabs>
          <w:tab w:val="left" w:pos="2778"/>
        </w:tabs>
        <w:rPr>
          <w:sz w:val="15"/>
        </w:rPr>
      </w:pPr>
      <w:r>
        <w:rPr>
          <w:color w:val="231F20"/>
          <w:sz w:val="15"/>
        </w:rPr>
        <w:t>an ACLEI/AFP joint investigation</w:t>
      </w:r>
      <w:r>
        <w:rPr>
          <w:color w:val="231F20"/>
          <w:spacing w:val="-15"/>
          <w:sz w:val="15"/>
        </w:rPr>
        <w:t xml:space="preserve"> </w:t>
      </w:r>
      <w:r>
        <w:rPr>
          <w:color w:val="231F20"/>
          <w:sz w:val="15"/>
        </w:rPr>
        <w:t>team</w:t>
      </w:r>
    </w:p>
    <w:p w:rsidR="00055FA0" w:rsidRPr="002909D2" w:rsidRDefault="00C54723" w:rsidP="002909D2">
      <w:pPr>
        <w:pStyle w:val="ListParagraph"/>
        <w:numPr>
          <w:ilvl w:val="0"/>
          <w:numId w:val="1"/>
        </w:numPr>
        <w:tabs>
          <w:tab w:val="left" w:pos="2778"/>
        </w:tabs>
        <w:rPr>
          <w:sz w:val="15"/>
        </w:rPr>
      </w:pPr>
      <w:r>
        <w:rPr>
          <w:color w:val="231F20"/>
          <w:sz w:val="15"/>
        </w:rPr>
        <w:t>the AFP with ACLEI oversight or</w:t>
      </w:r>
      <w:r>
        <w:rPr>
          <w:color w:val="231F20"/>
          <w:spacing w:val="-16"/>
          <w:sz w:val="15"/>
        </w:rPr>
        <w:t xml:space="preserve"> </w:t>
      </w:r>
      <w:r>
        <w:rPr>
          <w:color w:val="231F20"/>
          <w:sz w:val="15"/>
        </w:rPr>
        <w:t>management.</w:t>
      </w:r>
    </w:p>
    <w:sectPr w:rsidR="00055FA0" w:rsidRPr="00290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9980" w:h="1418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23" w:rsidRDefault="00C54723" w:rsidP="002909D2">
      <w:r>
        <w:separator/>
      </w:r>
    </w:p>
  </w:endnote>
  <w:endnote w:type="continuationSeparator" w:id="0">
    <w:p w:rsidR="00C54723" w:rsidRDefault="00C54723" w:rsidP="002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OT-Light">
    <w:altName w:val="MetaOT-Light"/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HeadlineOT">
    <w:altName w:val="MetaHeadlineOT"/>
    <w:panose1 w:val="020B0504030101020102"/>
    <w:charset w:val="00"/>
    <w:family w:val="swiss"/>
    <w:notTrueType/>
    <w:pitch w:val="variable"/>
    <w:sig w:usb0="800000EF" w:usb1="4000206A" w:usb2="00000008" w:usb3="00000000" w:csb0="00000001" w:csb1="00000000"/>
  </w:font>
  <w:font w:name="MetaHeadlineOT-Light">
    <w:altName w:val="MetaHeadlineOT-Light"/>
    <w:panose1 w:val="020B0504030101020102"/>
    <w:charset w:val="00"/>
    <w:family w:val="swiss"/>
    <w:notTrueType/>
    <w:pitch w:val="variable"/>
    <w:sig w:usb0="800000EF" w:usb1="4000206A" w:usb2="00000008" w:usb3="00000000" w:csb0="00000001" w:csb1="00000000"/>
  </w:font>
  <w:font w:name="MetaOT-CondBold">
    <w:altName w:val="MetaOT-CondBold"/>
    <w:panose1 w:val="020B0806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CondBook">
    <w:altName w:val="MetaOT-CondBook"/>
    <w:panose1 w:val="020B0606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CondXbold">
    <w:altName w:val="MetaOT-CondXbold"/>
    <w:panose1 w:val="020B0906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HeadlineOT-CompBold">
    <w:altName w:val="MetaHeadlineOT-CompBold"/>
    <w:panose1 w:val="020B0808030101020102"/>
    <w:charset w:val="00"/>
    <w:family w:val="swiss"/>
    <w:notTrueType/>
    <w:pitch w:val="variable"/>
    <w:sig w:usb0="800000EF" w:usb1="4000206A" w:usb2="00000008" w:usb3="00000000" w:csb0="00000001" w:csb1="00000000"/>
  </w:font>
  <w:font w:name="MetaHeadlineOT-Bold">
    <w:altName w:val="MetaHeadlineOT-Bold"/>
    <w:panose1 w:val="020B0804030101020102"/>
    <w:charset w:val="00"/>
    <w:family w:val="swiss"/>
    <w:notTrueType/>
    <w:pitch w:val="variable"/>
    <w:sig w:usb0="800000EF" w:usb1="4000206A" w:usb2="00000008" w:usb3="00000000" w:csb0="00000001" w:csb1="00000000"/>
  </w:font>
  <w:font w:name="MetaOT-LightIta">
    <w:altName w:val="MetaOT-LightIta"/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D2" w:rsidRDefault="00290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D2" w:rsidRDefault="00290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D2" w:rsidRDefault="00290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23" w:rsidRDefault="00C54723" w:rsidP="002909D2">
      <w:r>
        <w:separator/>
      </w:r>
    </w:p>
  </w:footnote>
  <w:footnote w:type="continuationSeparator" w:id="0">
    <w:p w:rsidR="00C54723" w:rsidRDefault="00C54723" w:rsidP="0029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D2" w:rsidRDefault="00290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D2" w:rsidRDefault="00290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D2" w:rsidRDefault="00290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C7E"/>
    <w:multiLevelType w:val="hybridMultilevel"/>
    <w:tmpl w:val="1F9ADAFE"/>
    <w:lvl w:ilvl="0" w:tplc="EFA899CE">
      <w:numFmt w:val="bullet"/>
      <w:lvlText w:val="–"/>
      <w:lvlJc w:val="left"/>
      <w:pPr>
        <w:ind w:left="2778" w:hanging="171"/>
      </w:pPr>
      <w:rPr>
        <w:rFonts w:ascii="MetaOT-Light" w:eastAsia="MetaOT-Light" w:hAnsi="MetaOT-Light" w:cs="MetaOT-Light" w:hint="default"/>
        <w:color w:val="231F20"/>
        <w:spacing w:val="-2"/>
        <w:w w:val="100"/>
        <w:sz w:val="15"/>
        <w:szCs w:val="15"/>
      </w:rPr>
    </w:lvl>
    <w:lvl w:ilvl="1" w:tplc="D9D692C8">
      <w:numFmt w:val="bullet"/>
      <w:lvlText w:val="•"/>
      <w:lvlJc w:val="left"/>
      <w:pPr>
        <w:ind w:left="3499" w:hanging="171"/>
      </w:pPr>
      <w:rPr>
        <w:rFonts w:hint="default"/>
      </w:rPr>
    </w:lvl>
    <w:lvl w:ilvl="2" w:tplc="69463A0C">
      <w:numFmt w:val="bullet"/>
      <w:lvlText w:val="•"/>
      <w:lvlJc w:val="left"/>
      <w:pPr>
        <w:ind w:left="4219" w:hanging="171"/>
      </w:pPr>
      <w:rPr>
        <w:rFonts w:hint="default"/>
      </w:rPr>
    </w:lvl>
    <w:lvl w:ilvl="3" w:tplc="39EA4A7E">
      <w:numFmt w:val="bullet"/>
      <w:lvlText w:val="•"/>
      <w:lvlJc w:val="left"/>
      <w:pPr>
        <w:ind w:left="4939" w:hanging="171"/>
      </w:pPr>
      <w:rPr>
        <w:rFonts w:hint="default"/>
      </w:rPr>
    </w:lvl>
    <w:lvl w:ilvl="4" w:tplc="2DE4D920">
      <w:numFmt w:val="bullet"/>
      <w:lvlText w:val="•"/>
      <w:lvlJc w:val="left"/>
      <w:pPr>
        <w:ind w:left="5659" w:hanging="171"/>
      </w:pPr>
      <w:rPr>
        <w:rFonts w:hint="default"/>
      </w:rPr>
    </w:lvl>
    <w:lvl w:ilvl="5" w:tplc="3568699A">
      <w:numFmt w:val="bullet"/>
      <w:lvlText w:val="•"/>
      <w:lvlJc w:val="left"/>
      <w:pPr>
        <w:ind w:left="6379" w:hanging="171"/>
      </w:pPr>
      <w:rPr>
        <w:rFonts w:hint="default"/>
      </w:rPr>
    </w:lvl>
    <w:lvl w:ilvl="6" w:tplc="B72A52E6">
      <w:numFmt w:val="bullet"/>
      <w:lvlText w:val="•"/>
      <w:lvlJc w:val="left"/>
      <w:pPr>
        <w:ind w:left="7098" w:hanging="171"/>
      </w:pPr>
      <w:rPr>
        <w:rFonts w:hint="default"/>
      </w:rPr>
    </w:lvl>
    <w:lvl w:ilvl="7" w:tplc="BB08B7AC">
      <w:numFmt w:val="bullet"/>
      <w:lvlText w:val="•"/>
      <w:lvlJc w:val="left"/>
      <w:pPr>
        <w:ind w:left="7818" w:hanging="171"/>
      </w:pPr>
      <w:rPr>
        <w:rFonts w:hint="default"/>
      </w:rPr>
    </w:lvl>
    <w:lvl w:ilvl="8" w:tplc="CC22E8E4">
      <w:numFmt w:val="bullet"/>
      <w:lvlText w:val="•"/>
      <w:lvlJc w:val="left"/>
      <w:pPr>
        <w:ind w:left="8538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5FA0"/>
    <w:rsid w:val="00055FA0"/>
    <w:rsid w:val="002909D2"/>
    <w:rsid w:val="008D0E9F"/>
    <w:rsid w:val="00C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3A30"/>
  <w15:docId w15:val="{52493CE5-00EE-41BE-83B4-9A171D5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etaOT-Light" w:eastAsia="MetaOT-Light" w:hAnsi="MetaOT-Light" w:cs="MetaOT-Ligh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9F"/>
    <w:pPr>
      <w:spacing w:before="92" w:after="360"/>
      <w:ind w:left="2268"/>
      <w:outlineLvl w:val="1"/>
    </w:pPr>
    <w:rPr>
      <w:rFonts w:ascii="MetaHeadlineOT"/>
      <w:color w:val="2D637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3"/>
      <w:ind w:left="2778" w:hanging="171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right="80"/>
      <w:jc w:val="right"/>
    </w:pPr>
    <w:rPr>
      <w:rFonts w:ascii="MetaHeadlineOT-Light" w:eastAsia="MetaHeadlineOT-Light" w:hAnsi="MetaHeadlineOT-Light" w:cs="MetaHeadlineOT-Light"/>
    </w:rPr>
  </w:style>
  <w:style w:type="paragraph" w:styleId="Header">
    <w:name w:val="header"/>
    <w:basedOn w:val="Normal"/>
    <w:link w:val="HeaderChar"/>
    <w:uiPriority w:val="99"/>
    <w:unhideWhenUsed/>
    <w:rsid w:val="0029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D2"/>
    <w:rPr>
      <w:rFonts w:ascii="MetaOT-Light" w:eastAsia="MetaOT-Light" w:hAnsi="MetaOT-Light" w:cs="MetaOT-Light"/>
    </w:rPr>
  </w:style>
  <w:style w:type="paragraph" w:styleId="Footer">
    <w:name w:val="footer"/>
    <w:basedOn w:val="Normal"/>
    <w:link w:val="FooterChar"/>
    <w:uiPriority w:val="99"/>
    <w:unhideWhenUsed/>
    <w:rsid w:val="0029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D2"/>
    <w:rPr>
      <w:rFonts w:ascii="MetaOT-Light" w:eastAsia="MetaOT-Light" w:hAnsi="MetaOT-Light" w:cs="MetaOT-Light"/>
    </w:rPr>
  </w:style>
  <w:style w:type="character" w:customStyle="1" w:styleId="Heading2Char">
    <w:name w:val="Heading 2 Char"/>
    <w:basedOn w:val="DefaultParagraphFont"/>
    <w:link w:val="Heading2"/>
    <w:uiPriority w:val="9"/>
    <w:rsid w:val="008D0E9F"/>
    <w:rPr>
      <w:rFonts w:ascii="MetaHeadlineOT" w:eastAsia="MetaOT-Light" w:hAnsi="MetaOT-Light" w:cs="MetaOT-Light"/>
      <w:color w:val="2D637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1254</Characters>
  <Application>Microsoft Office Word</Application>
  <DocSecurity>0</DocSecurity>
  <Lines>104</Lines>
  <Paragraphs>108</Paragraphs>
  <ScaleCrop>false</ScaleCrop>
  <Company>Australian Federal Police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Annual Report 2018-19 - Page 166</dc:title>
  <dc:creator>AFP</dc:creator>
  <cp:lastModifiedBy>Van Der Vlist, Jenna</cp:lastModifiedBy>
  <cp:revision>3</cp:revision>
  <dcterms:created xsi:type="dcterms:W3CDTF">2020-08-28T10:21:00Z</dcterms:created>
  <dcterms:modified xsi:type="dcterms:W3CDTF">2020-08-28T00:25:00Z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2020-08-28T00:00:00Z</vt:filetime>
  </property>
</Properties>
</file>